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CEC" w:rsidRPr="003B7CEC" w:rsidRDefault="003B7CEC" w:rsidP="003B7C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inherit" w:eastAsia="Times New Roman" w:hAnsi="inherit" w:cs="Courier New"/>
          <w:color w:val="222222"/>
          <w:sz w:val="38"/>
          <w:szCs w:val="38"/>
          <w:u w:val="single"/>
          <w:lang w:eastAsia="tr-TR"/>
        </w:rPr>
      </w:pPr>
      <w:r w:rsidRPr="003B7CEC">
        <w:rPr>
          <w:rFonts w:ascii="inherit" w:eastAsia="Times New Roman" w:hAnsi="inherit" w:cs="Courier New"/>
          <w:color w:val="222222"/>
          <w:sz w:val="38"/>
          <w:szCs w:val="38"/>
          <w:rtl/>
          <w:lang w:eastAsia="tr-TR" w:bidi="ar"/>
        </w:rPr>
        <w:t xml:space="preserve">                    </w:t>
      </w:r>
      <w:r w:rsidRPr="003B7CEC">
        <w:rPr>
          <w:rFonts w:ascii="inherit" w:eastAsia="Times New Roman" w:hAnsi="inherit" w:cs="Courier New" w:hint="cs"/>
          <w:color w:val="222222"/>
          <w:sz w:val="38"/>
          <w:szCs w:val="38"/>
          <w:u w:val="single"/>
          <w:rtl/>
          <w:lang w:eastAsia="tr-TR" w:bidi="ar"/>
        </w:rPr>
        <w:t>توكيل</w:t>
      </w:r>
    </w:p>
    <w:p w:rsidR="003B7CEC" w:rsidRPr="003B7CEC" w:rsidRDefault="003B7CEC" w:rsidP="003B7CEC">
      <w:pPr>
        <w:pStyle w:val="HTMLncedenBiimlendirilmi"/>
        <w:shd w:val="clear" w:color="auto" w:fill="F8F9FA"/>
        <w:bidi/>
        <w:spacing w:line="360" w:lineRule="atLeast"/>
        <w:jc w:val="both"/>
        <w:rPr>
          <w:rFonts w:ascii="inherit" w:eastAsia="Times New Roman" w:hAnsi="inherit" w:cs="Courier New"/>
          <w:color w:val="222222"/>
          <w:sz w:val="24"/>
          <w:szCs w:val="24"/>
          <w:lang w:eastAsia="tr-TR"/>
        </w:rPr>
      </w:pPr>
      <w:r w:rsidRPr="003B7CEC">
        <w:rPr>
          <w:rFonts w:ascii="inherit" w:eastAsia="Times New Roman" w:hAnsi="inherit" w:cs="Courier New" w:hint="cs"/>
          <w:color w:val="222222"/>
          <w:sz w:val="24"/>
          <w:szCs w:val="24"/>
          <w:rtl/>
          <w:lang w:eastAsia="tr-TR" w:bidi="ar"/>
        </w:rPr>
        <w:t xml:space="preserve">لحماية حقوقي ومصالحي لتمثيلي بكل الطرق والقدرات في كل جزء ودرجة من الأجهزة القضائية والجمعيات والإدارات في </w:t>
      </w:r>
      <w:r w:rsidRPr="003B7CEC">
        <w:rPr>
          <w:rFonts w:ascii="inherit" w:eastAsia="Times New Roman" w:hAnsi="inherit" w:cs="Courier New" w:hint="cs"/>
          <w:color w:val="222222"/>
          <w:sz w:val="24"/>
          <w:szCs w:val="24"/>
          <w:lang w:eastAsia="tr-TR" w:bidi="ar"/>
        </w:rPr>
        <w:t>TC</w:t>
      </w:r>
      <w:r w:rsidRPr="003B7CEC">
        <w:rPr>
          <w:rFonts w:ascii="inherit" w:eastAsia="Times New Roman" w:hAnsi="inherit" w:cs="Courier New" w:hint="cs"/>
          <w:color w:val="222222"/>
          <w:sz w:val="24"/>
          <w:szCs w:val="24"/>
          <w:rtl/>
          <w:lang w:eastAsia="tr-TR" w:bidi="ar"/>
        </w:rPr>
        <w:t xml:space="preserve"> بسبب الدعاوى والإجراءات التي ستفتح لصالحي وضدي ، لفتح الدعاوى القضائية ضد المؤسسات والأفراد الآخرين ، وإجراءات فتح أو فتح التطبيق. للمشاركة في الدعاوى المرفوعة ضدي وترفع ضدي ، والمتابعة والاختتام ، لتقديم الوثائق التي يتعين تسليمها إلى المؤسسات ذات الصلة لتعيين التحكيم والمحكمين ، وجميع أنواع الالتماسات والمستندات لتمثيل لي مع توقيعهم في المؤسسات والمنظمات ذات الصلة ، والإخطارات والإشعارات والشهود والخبراء لإظهار لقبول أو رفض الاحتجاج ، الاحتجاج ، الإضراب واللجوء ، الرد على المدعوين ، العرض واليمين وقبول ورفض ، اكتشاف الاكتشافات ، اكتشاف الاكتشافات ، الاعتراض على تقارير الاكتشاف ، طلب الاستطلاع ، التدابير الاحترازية والإنفاذ وتنفيذ جميع أنواع الإجراءات القانونية المطلوبة في جميع الهيئات القضائية والمكاتب الحكومية الأخرى المنشأة والتي ستنشئها مكاتب إنفاذ القانون ومحكمة النقض ومجلس الدولة ومحكمة الحسابات والمحاكم الإدارية الإقليمية ومحاكم العدل الإقليمية والمحاكم الإدارية والضريبية وجميع المكاتب الحكومية الأخرى. للطعن في المرفأ ، لطلب تصحيح القرارات وإعادة الإجراءات ، القضاة ، الخبراء ، المحكمون ، الشهود ، الكتّاب والخبراء الذين يتقدمون بالشكوى والرفض ، لنقل القضية ، والمشاركة في جلسات الاستماع ، وأخذ الوثائق من اليد ، لإزالة السجلات والنسخ والملفات المراد فحصها ، وتصحيح الأخطاء والمكاتب الضريبية والاستئناف الضريبي والتقدير والطعون ولجان المصالحة الإقليمية بتمثيلي في الهيئات المنشأة والتي سيتم إنشاؤها بموجب القانون بشأن هذا الموضوع ، للبحث عن طرق بديلة لتسوية المنازعات ، بما في ذلك الوساطة ، لطلب المصالحة ، والتوقيع على المحضر ، والمتابعة ، ومتابعة وإتمام الإجراءات القانونية اللازمة ، لطلب عقد جلسات الاستماع في جلسات الاستماع ، المديرية العامة لشئون السكان والمواطنة والمديريات الإقليمية ، مديريات مصلحة الضرائب ، مديريات مجموعة مكاتب الضرائب ، مديريات السكان ومكاتب السجل العقاري ، الاقتصاد الداخلي البيئة والعلوم الحضرية والتكنولوجية ، النقل ، وزارات العمل والضمان الاجتماعي ، المديرية العامة لشؤون السكان ، الأمن مقاطعة المحافظين والمحافظات وإدارة شرطة مقاطعة ومنطقة ومديرية الهجرة الادارة العامة للمناطق الحرة (المنطقة الحرة) والبعثات والسفارات العاملة في البلدان الخارجية التركي، الإيرادات، مدير السلع، مصلحة الضرائب، مكاتب إدارة الضمان الاجتماعي (</w:t>
      </w:r>
      <w:r w:rsidRPr="003B7CEC">
        <w:rPr>
          <w:rFonts w:ascii="inherit" w:eastAsia="Times New Roman" w:hAnsi="inherit" w:cs="Courier New" w:hint="cs"/>
          <w:color w:val="222222"/>
          <w:sz w:val="24"/>
          <w:szCs w:val="24"/>
          <w:lang w:eastAsia="tr-TR" w:bidi="ar"/>
        </w:rPr>
        <w:t>SIO</w:t>
      </w:r>
      <w:r w:rsidRPr="003B7CEC">
        <w:rPr>
          <w:rFonts w:ascii="inherit" w:eastAsia="Times New Roman" w:hAnsi="inherit" w:cs="Courier New" w:hint="cs"/>
          <w:color w:val="222222"/>
          <w:sz w:val="24"/>
          <w:szCs w:val="24"/>
          <w:rtl/>
          <w:lang w:eastAsia="tr-TR" w:bidi="ar"/>
        </w:rPr>
        <w:t xml:space="preserve">، </w:t>
      </w:r>
      <w:proofErr w:type="spellStart"/>
      <w:r w:rsidRPr="003B7CEC">
        <w:rPr>
          <w:rFonts w:ascii="inherit" w:eastAsia="Times New Roman" w:hAnsi="inherit" w:cs="Courier New" w:hint="cs"/>
          <w:color w:val="222222"/>
          <w:sz w:val="24"/>
          <w:szCs w:val="24"/>
          <w:lang w:eastAsia="tr-TR" w:bidi="ar"/>
        </w:rPr>
        <w:t>Bağ-Kur</w:t>
      </w:r>
      <w:proofErr w:type="spellEnd"/>
      <w:r w:rsidRPr="003B7CEC">
        <w:rPr>
          <w:rFonts w:ascii="inherit" w:eastAsia="Times New Roman" w:hAnsi="inherit" w:cs="Courier New" w:hint="cs"/>
          <w:color w:val="222222"/>
          <w:sz w:val="24"/>
          <w:szCs w:val="24"/>
          <w:rtl/>
          <w:lang w:eastAsia="tr-TR" w:bidi="ar"/>
        </w:rPr>
        <w:t>) ، مديرية العمل الإقليمية ، مديريات المقاطعات ومراكز الخدمة بمعهد العمل والتوظيف ، غرف التجارة والصناعة ، مديريات الصناعة بالمقاطعات ، تبادل السلع ، غرفة التجار والحرفيين ومكاتب السجل التجاري ،</w:t>
      </w:r>
    </w:p>
    <w:p w:rsidR="003B7CEC" w:rsidRPr="003B7CEC" w:rsidRDefault="003B7CEC" w:rsidP="003B7C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3B7CEC">
        <w:rPr>
          <w:rFonts w:ascii="inherit" w:eastAsia="Times New Roman" w:hAnsi="inherit" w:cs="Courier New" w:hint="cs"/>
          <w:color w:val="222222"/>
          <w:sz w:val="24"/>
          <w:szCs w:val="24"/>
          <w:lang w:eastAsia="tr-TR" w:bidi="ar"/>
        </w:rPr>
        <w:t>KOSGEB</w:t>
      </w:r>
      <w:r w:rsidRPr="003B7CEC">
        <w:rPr>
          <w:rFonts w:ascii="inherit" w:eastAsia="Times New Roman" w:hAnsi="inherit" w:cs="Courier New" w:hint="cs"/>
          <w:color w:val="222222"/>
          <w:sz w:val="24"/>
          <w:szCs w:val="24"/>
          <w:rtl/>
          <w:lang w:eastAsia="tr-TR" w:bidi="ar"/>
        </w:rPr>
        <w:t xml:space="preserve"> ، وكتاب العدل والمديريات الإدارية الخاصة والبلديات والوحدات ذات الصلة وجميع السلطات الرسمية والهيئات كمرخص لها بالكامل ، لحماية حقوقي ومصالحي ، وتقديم جميع أنواع الطلبات ، وتوقيع </w:t>
      </w:r>
      <w:r w:rsidRPr="003B7CEC">
        <w:rPr>
          <w:rFonts w:ascii="inherit" w:eastAsia="Times New Roman" w:hAnsi="inherit" w:cs="Courier New" w:hint="cs"/>
          <w:color w:val="222222"/>
          <w:sz w:val="24"/>
          <w:szCs w:val="24"/>
          <w:rtl/>
          <w:lang w:eastAsia="tr-TR" w:bidi="ar"/>
        </w:rPr>
        <w:lastRenderedPageBreak/>
        <w:t xml:space="preserve">المستندات ، والتقدم بطلب للحصول على تأشيرة ، ووضع اللمسات الأخيرة على الخطوات اللازمة لتقديم أي نوع من الطلبات ، لإجراء المعاملات عبر الإنترنت حول هذا الموضوع ، للحصول على تصريح إقامة دائمة ، تصريح عمل ، تصريح إقامة ، تأشيرة سياحية ، إصدار بطاقة الفيروز ، لإيداع جميع أنواع الضرائب والصور والرسوم ، لاستلام الإيصالات ، لاستلام الإيصالات والعودة لطلب وجمع وتوقيع إيصالات الاستلام والمستندات ، وتصحيح الأخطاء الإدارية ، والقيام بجميع أنواع العمل والمعاملات ، والمتابعة والتوقيع مع التوقيع ، وجواز السفر ، وبطاقة الهوية ، ورخصة القيادة ، وعينة من تسجيل أسرة السكان ، والإقامة </w:t>
      </w:r>
      <w:proofErr w:type="spellStart"/>
      <w:r w:rsidRPr="003B7CEC">
        <w:rPr>
          <w:rFonts w:ascii="inherit" w:eastAsia="Times New Roman" w:hAnsi="inherit" w:cs="Courier New" w:hint="cs"/>
          <w:color w:val="222222"/>
          <w:sz w:val="24"/>
          <w:szCs w:val="24"/>
          <w:lang w:eastAsia="tr-TR" w:bidi="ar"/>
        </w:rPr>
        <w:t>Tezka</w:t>
      </w:r>
      <w:proofErr w:type="spellEnd"/>
      <w:r w:rsidRPr="003B7CEC">
        <w:rPr>
          <w:rFonts w:ascii="inherit" w:eastAsia="Times New Roman" w:hAnsi="inherit" w:cs="Courier New" w:hint="cs"/>
          <w:color w:val="222222"/>
          <w:sz w:val="24"/>
          <w:szCs w:val="24"/>
          <w:rtl/>
          <w:lang w:eastAsia="tr-TR" w:bidi="ar"/>
        </w:rPr>
        <w:t xml:space="preserve"> للتقدم بطلب استلام واستلام وتسليم وتسليم مستندات وتسليم مستندات وتسليم مستندات التسليم. والتوقيع ، وتقديم طلبات خطية وشفوية ، لتصحيح الأخطاء ، لشراء وبيع العقارات مع الأسعار والشروط ، مع الشروح والإعلانات ، لأداء إجراءات تسجيل نقل الفعل ، لدفع الرسوم ، وتلقي المبالغ المستردة ، لتشغيل جميع أنواع الشروح التي تمثل لي على الأموال غير المنقولة ،</w:t>
      </w:r>
    </w:p>
    <w:p w:rsidR="003B7CEC" w:rsidRPr="003B7CEC" w:rsidRDefault="003B7CEC" w:rsidP="003B7CEC">
      <w:pPr>
        <w:pStyle w:val="HTMLncedenBiimlendirilmi"/>
        <w:shd w:val="clear" w:color="auto" w:fill="F8F9FA"/>
        <w:bidi/>
        <w:spacing w:line="360" w:lineRule="atLeast"/>
        <w:jc w:val="both"/>
        <w:rPr>
          <w:rFonts w:ascii="inherit" w:eastAsia="Times New Roman" w:hAnsi="inherit" w:cs="Courier New"/>
          <w:color w:val="222222"/>
          <w:sz w:val="24"/>
          <w:szCs w:val="24"/>
          <w:lang w:eastAsia="tr-TR"/>
        </w:rPr>
      </w:pPr>
      <w:r w:rsidRPr="003B7CEC">
        <w:rPr>
          <w:rFonts w:ascii="inherit" w:eastAsia="Times New Roman" w:hAnsi="inherit" w:cs="Courier New" w:hint="cs"/>
          <w:color w:val="222222"/>
          <w:sz w:val="24"/>
          <w:szCs w:val="24"/>
          <w:rtl/>
          <w:lang w:eastAsia="tr-TR" w:bidi="ar"/>
        </w:rPr>
        <w:t xml:space="preserve">لى وجه الخصوص ، بموجب المادة 20 من اللائحة التنفيذية لتطبيق قانون الجنسية التركية ، للحصول على التزام بالحصول على الأموال غير المنقولة / غير المنقولة المكتسبة بغرض الحصول على الجنسية التركية لمدة 3 سنوات. للإعلان عن أن الضريبة غير المحصلة سيتم دفعها بسعر فائدة التأجيل المحسوبة وفقًا للمادة 48 من القانون رقم. لتقديم التزامات ، وجمع خصوماتي الضريبية ، ووقف جميع أنواع التعليقات التوضيحية والإعلانات الموضوعة في الأموال غير المنقولة الخاصة بي ، لمتابعة المعاملات ووضع اللمسات الأخيرة عليها ، أولادي يحصلون على الجنسية التركية لتقديم جميع أنواع الطلبات لتصحيح عملية تقديم المستندات والمستندات لتسليمها ومتابعتها واختتامها والتوقيع لي للتوقيع على أي عقد مع أشخاص ومنظمات لتوقيع جميع أنواع القرارات والإعدام بجميع أنواعها ، يجب السماح بقبول القضية ورفضها والتنازل عن القضية وقبول التنازل والتنازل عن الطعن والتنازل عن الطعن والتنازل عن التنازل والتنازل عن التنازل ؛ محامي نقابة المحامين في اسطنبول </w:t>
      </w:r>
      <w:r w:rsidR="00A13953">
        <w:rPr>
          <w:rFonts w:ascii="inherit" w:eastAsia="Times New Roman" w:hAnsi="inherit" w:cs="Courier New"/>
          <w:color w:val="222222"/>
          <w:sz w:val="24"/>
          <w:szCs w:val="24"/>
          <w:rtl/>
          <w:lang w:eastAsia="tr-TR" w:bidi="ar"/>
        </w:rPr>
        <w:t>..........</w:t>
      </w:r>
      <w:r w:rsidRPr="003B7CEC">
        <w:rPr>
          <w:rFonts w:ascii="inherit" w:eastAsia="Times New Roman" w:hAnsi="inherit" w:cs="Courier New" w:hint="cs"/>
          <w:color w:val="222222"/>
          <w:sz w:val="24"/>
          <w:szCs w:val="24"/>
          <w:rtl/>
          <w:lang w:eastAsia="tr-TR" w:bidi="ar"/>
        </w:rPr>
        <w:t xml:space="preserve"> </w:t>
      </w:r>
      <w:proofErr w:type="spellStart"/>
      <w:r w:rsidRPr="003B7CEC">
        <w:rPr>
          <w:rFonts w:ascii="inherit" w:eastAsia="Times New Roman" w:hAnsi="inherit" w:cs="Courier New" w:hint="cs"/>
          <w:color w:val="222222"/>
          <w:sz w:val="24"/>
          <w:szCs w:val="24"/>
          <w:lang w:eastAsia="tr-TR" w:bidi="ar"/>
        </w:rPr>
        <w:t>Tc</w:t>
      </w:r>
      <w:proofErr w:type="spellEnd"/>
      <w:r w:rsidRPr="003B7CEC">
        <w:rPr>
          <w:rFonts w:ascii="inherit" w:eastAsia="Times New Roman" w:hAnsi="inherit" w:cs="Courier New" w:hint="cs"/>
          <w:color w:val="222222"/>
          <w:sz w:val="24"/>
          <w:szCs w:val="24"/>
          <w:rtl/>
          <w:lang w:eastAsia="tr-TR" w:bidi="ar"/>
        </w:rPr>
        <w:t xml:space="preserve"> مرقمة </w:t>
      </w:r>
      <w:r w:rsidR="00A13953">
        <w:rPr>
          <w:rFonts w:ascii="Courier New" w:eastAsia="Times New Roman" w:hAnsi="Courier New" w:cs="Courier New"/>
          <w:color w:val="222222"/>
          <w:sz w:val="24"/>
          <w:szCs w:val="24"/>
          <w:lang w:eastAsia="tr-TR" w:bidi="ar"/>
        </w:rPr>
        <w:t>...........</w:t>
      </w:r>
      <w:bookmarkStart w:id="0" w:name="_GoBack"/>
      <w:bookmarkEnd w:id="0"/>
      <w:r w:rsidRPr="003B7CEC">
        <w:rPr>
          <w:rFonts w:ascii="inherit" w:eastAsia="Times New Roman" w:hAnsi="inherit" w:cs="Courier New" w:hint="cs"/>
          <w:color w:val="222222"/>
          <w:sz w:val="24"/>
          <w:szCs w:val="24"/>
          <w:lang w:eastAsia="tr-TR" w:bidi="ar"/>
        </w:rPr>
        <w:t xml:space="preserve"> </w:t>
      </w:r>
      <w:r w:rsidRPr="003B7CEC">
        <w:rPr>
          <w:rFonts w:ascii="inherit" w:eastAsia="Times New Roman" w:hAnsi="inherit" w:cs="Courier New" w:hint="cs"/>
          <w:color w:val="222222"/>
          <w:sz w:val="24"/>
          <w:szCs w:val="24"/>
          <w:rtl/>
          <w:lang w:eastAsia="tr-TR" w:bidi="ar"/>
        </w:rPr>
        <w:t xml:space="preserve">، </w:t>
      </w:r>
      <w:r w:rsidR="00A13953">
        <w:rPr>
          <w:rFonts w:ascii="Courier New" w:eastAsia="Times New Roman" w:hAnsi="Courier New" w:cs="Courier New"/>
          <w:color w:val="222222"/>
          <w:sz w:val="24"/>
          <w:szCs w:val="24"/>
          <w:lang w:eastAsia="tr-TR" w:bidi="ar"/>
        </w:rPr>
        <w:t>...........</w:t>
      </w:r>
      <w:r w:rsidRPr="003B7CEC">
        <w:rPr>
          <w:rFonts w:ascii="inherit" w:eastAsia="Times New Roman" w:hAnsi="inherit" w:cs="Courier New" w:hint="cs"/>
          <w:color w:val="222222"/>
          <w:sz w:val="24"/>
          <w:szCs w:val="24"/>
          <w:lang w:eastAsia="tr-TR" w:bidi="ar"/>
        </w:rPr>
        <w:t xml:space="preserve"> </w:t>
      </w:r>
      <w:proofErr w:type="spellStart"/>
      <w:r w:rsidRPr="003B7CEC">
        <w:rPr>
          <w:rFonts w:ascii="inherit" w:eastAsia="Times New Roman" w:hAnsi="inherit" w:cs="Courier New" w:hint="cs"/>
          <w:color w:val="222222"/>
          <w:sz w:val="24"/>
          <w:szCs w:val="24"/>
          <w:lang w:eastAsia="tr-TR" w:bidi="ar"/>
        </w:rPr>
        <w:t>Tc</w:t>
      </w:r>
      <w:proofErr w:type="spellEnd"/>
      <w:r w:rsidRPr="003B7CEC">
        <w:rPr>
          <w:rFonts w:ascii="inherit" w:eastAsia="Times New Roman" w:hAnsi="inherit" w:cs="Courier New" w:hint="cs"/>
          <w:color w:val="222222"/>
          <w:sz w:val="24"/>
          <w:szCs w:val="24"/>
          <w:rtl/>
          <w:lang w:eastAsia="tr-TR" w:bidi="ar"/>
        </w:rPr>
        <w:t xml:space="preserve"> مرقمة </w:t>
      </w:r>
      <w:proofErr w:type="gramStart"/>
      <w:r w:rsidR="00A13953">
        <w:rPr>
          <w:rFonts w:ascii="Courier New" w:eastAsia="Times New Roman" w:hAnsi="Courier New" w:cs="Courier New"/>
          <w:color w:val="222222"/>
          <w:sz w:val="24"/>
          <w:szCs w:val="24"/>
          <w:lang w:eastAsia="tr-TR" w:bidi="ar"/>
        </w:rPr>
        <w:t>..........</w:t>
      </w:r>
      <w:proofErr w:type="gramEnd"/>
      <w:r w:rsidRPr="003B7CEC">
        <w:rPr>
          <w:rFonts w:ascii="inherit" w:eastAsia="Times New Roman" w:hAnsi="inherit" w:cs="Courier New" w:hint="cs"/>
          <w:color w:val="222222"/>
          <w:sz w:val="24"/>
          <w:szCs w:val="24"/>
          <w:rtl/>
          <w:lang w:eastAsia="tr-TR" w:bidi="ar"/>
        </w:rPr>
        <w:t xml:space="preserve"> سويًا وبشكل منفصل بصفته نائبًا يعين جميع القضايا (الصلاحيات) بموجب هذا أو في كل من الشخص الآخر المفوض للتفويض والحوافز والأزلي لقد عيننا وكيل ليكون.</w:t>
      </w:r>
    </w:p>
    <w:p w:rsidR="003B7CEC" w:rsidRPr="003B7CEC" w:rsidRDefault="003B7CEC" w:rsidP="003B7C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rtl/>
          <w:lang w:eastAsia="tr-TR" w:bidi="ar"/>
        </w:rPr>
      </w:pPr>
      <w:r w:rsidRPr="003B7CEC">
        <w:rPr>
          <w:rFonts w:ascii="inherit" w:eastAsia="Times New Roman" w:hAnsi="inherit" w:cs="Courier New" w:hint="cs"/>
          <w:color w:val="222222"/>
          <w:sz w:val="24"/>
          <w:szCs w:val="24"/>
          <w:rtl/>
          <w:lang w:eastAsia="tr-TR" w:bidi="ar"/>
        </w:rPr>
        <w:t>تلك المحامي</w:t>
      </w:r>
    </w:p>
    <w:p w:rsidR="003B7CEC" w:rsidRPr="003B7CEC" w:rsidRDefault="003B7CEC" w:rsidP="003B7C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rtl/>
          <w:lang w:eastAsia="tr-TR" w:bidi="ar"/>
        </w:rPr>
      </w:pPr>
      <w:r w:rsidRPr="003B7CEC">
        <w:rPr>
          <w:rFonts w:ascii="inherit" w:eastAsia="Times New Roman" w:hAnsi="inherit" w:cs="Courier New" w:hint="cs"/>
          <w:color w:val="222222"/>
          <w:sz w:val="24"/>
          <w:szCs w:val="24"/>
          <w:rtl/>
          <w:lang w:eastAsia="tr-TR" w:bidi="ar"/>
        </w:rPr>
        <w:t>1- .......................................... ..</w:t>
      </w:r>
    </w:p>
    <w:p w:rsidR="003B7CEC" w:rsidRPr="003B7CEC" w:rsidRDefault="003B7CEC" w:rsidP="003B7C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rtl/>
          <w:lang w:eastAsia="tr-TR" w:bidi="ar"/>
        </w:rPr>
      </w:pPr>
      <w:r w:rsidRPr="003B7CEC">
        <w:rPr>
          <w:rFonts w:ascii="inherit" w:eastAsia="Times New Roman" w:hAnsi="inherit" w:cs="Courier New" w:hint="cs"/>
          <w:color w:val="222222"/>
          <w:sz w:val="24"/>
          <w:szCs w:val="24"/>
          <w:rtl/>
          <w:lang w:eastAsia="tr-TR" w:bidi="ar"/>
        </w:rPr>
        <w:t>...................................................................................................................</w:t>
      </w:r>
    </w:p>
    <w:p w:rsidR="003B7CEC" w:rsidRPr="003B7CEC" w:rsidRDefault="003B7CEC" w:rsidP="003B7C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rtl/>
          <w:lang w:eastAsia="tr-TR" w:bidi="ar"/>
        </w:rPr>
      </w:pPr>
      <w:r w:rsidRPr="003B7CEC">
        <w:rPr>
          <w:rFonts w:ascii="inherit" w:eastAsia="Times New Roman" w:hAnsi="inherit" w:cs="Courier New" w:hint="cs"/>
          <w:color w:val="222222"/>
          <w:sz w:val="24"/>
          <w:szCs w:val="24"/>
          <w:rtl/>
          <w:lang w:eastAsia="tr-TR" w:bidi="ar"/>
        </w:rPr>
        <w:t>2- .......................................... ..</w:t>
      </w:r>
    </w:p>
    <w:p w:rsidR="003B7CEC" w:rsidRPr="003B7CEC" w:rsidRDefault="003B7CEC" w:rsidP="003B7C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lang w:eastAsia="tr-TR"/>
        </w:rPr>
      </w:pPr>
      <w:r w:rsidRPr="003B7CEC">
        <w:rPr>
          <w:rFonts w:ascii="inherit" w:eastAsia="Times New Roman" w:hAnsi="inherit" w:cs="Courier New" w:hint="cs"/>
          <w:color w:val="222222"/>
          <w:sz w:val="24"/>
          <w:szCs w:val="24"/>
          <w:rtl/>
          <w:lang w:eastAsia="tr-TR" w:bidi="ar"/>
        </w:rPr>
        <w:t>........................................................................................................................ ..</w:t>
      </w:r>
    </w:p>
    <w:p w:rsidR="003B7CEC" w:rsidRPr="003B7CEC" w:rsidRDefault="003B7CEC" w:rsidP="003B7C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lang w:eastAsia="tr-TR"/>
        </w:rPr>
      </w:pPr>
    </w:p>
    <w:p w:rsidR="003B7CEC" w:rsidRPr="003B7CEC" w:rsidRDefault="003B7CEC" w:rsidP="003B7CEC">
      <w:pPr>
        <w:pStyle w:val="HTMLncedenBiimlendirilmi"/>
        <w:shd w:val="clear" w:color="auto" w:fill="F8F9FA"/>
        <w:bidi/>
        <w:spacing w:line="360" w:lineRule="atLeast"/>
        <w:rPr>
          <w:rFonts w:ascii="inherit" w:eastAsia="Times New Roman" w:hAnsi="inherit" w:cs="Courier New"/>
          <w:color w:val="222222"/>
          <w:sz w:val="24"/>
          <w:szCs w:val="24"/>
          <w:lang w:eastAsia="tr-TR"/>
        </w:rPr>
      </w:pPr>
    </w:p>
    <w:p w:rsidR="003B7CEC" w:rsidRPr="003B7CEC" w:rsidRDefault="003B7CEC" w:rsidP="003B7C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lang w:eastAsia="tr-TR"/>
        </w:rPr>
      </w:pPr>
    </w:p>
    <w:p w:rsidR="00D409E1" w:rsidRPr="003B7CEC" w:rsidRDefault="00D409E1">
      <w:pPr>
        <w:rPr>
          <w:sz w:val="28"/>
          <w:szCs w:val="28"/>
        </w:rPr>
      </w:pPr>
    </w:p>
    <w:sectPr w:rsidR="00D409E1" w:rsidRPr="003B7CEC" w:rsidSect="003B7CEC">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nsolas">
    <w:panose1 w:val="020B0609020204030204"/>
    <w:charset w:val="A2"/>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1A"/>
    <w:rsid w:val="0029201A"/>
    <w:rsid w:val="003B7CEC"/>
    <w:rsid w:val="00A13953"/>
    <w:rsid w:val="00D409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3B7CEC"/>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3B7CEC"/>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3B7CEC"/>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3B7CEC"/>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5519">
      <w:bodyDiv w:val="1"/>
      <w:marLeft w:val="0"/>
      <w:marRight w:val="0"/>
      <w:marTop w:val="0"/>
      <w:marBottom w:val="0"/>
      <w:divBdr>
        <w:top w:val="none" w:sz="0" w:space="0" w:color="auto"/>
        <w:left w:val="none" w:sz="0" w:space="0" w:color="auto"/>
        <w:bottom w:val="none" w:sz="0" w:space="0" w:color="auto"/>
        <w:right w:val="none" w:sz="0" w:space="0" w:color="auto"/>
      </w:divBdr>
    </w:div>
    <w:div w:id="641278172">
      <w:bodyDiv w:val="1"/>
      <w:marLeft w:val="0"/>
      <w:marRight w:val="0"/>
      <w:marTop w:val="0"/>
      <w:marBottom w:val="0"/>
      <w:divBdr>
        <w:top w:val="none" w:sz="0" w:space="0" w:color="auto"/>
        <w:left w:val="none" w:sz="0" w:space="0" w:color="auto"/>
        <w:bottom w:val="none" w:sz="0" w:space="0" w:color="auto"/>
        <w:right w:val="none" w:sz="0" w:space="0" w:color="auto"/>
      </w:divBdr>
    </w:div>
    <w:div w:id="841354474">
      <w:bodyDiv w:val="1"/>
      <w:marLeft w:val="0"/>
      <w:marRight w:val="0"/>
      <w:marTop w:val="0"/>
      <w:marBottom w:val="0"/>
      <w:divBdr>
        <w:top w:val="none" w:sz="0" w:space="0" w:color="auto"/>
        <w:left w:val="none" w:sz="0" w:space="0" w:color="auto"/>
        <w:bottom w:val="none" w:sz="0" w:space="0" w:color="auto"/>
        <w:right w:val="none" w:sz="0" w:space="0" w:color="auto"/>
      </w:divBdr>
    </w:div>
    <w:div w:id="1101880413">
      <w:bodyDiv w:val="1"/>
      <w:marLeft w:val="0"/>
      <w:marRight w:val="0"/>
      <w:marTop w:val="0"/>
      <w:marBottom w:val="0"/>
      <w:divBdr>
        <w:top w:val="none" w:sz="0" w:space="0" w:color="auto"/>
        <w:left w:val="none" w:sz="0" w:space="0" w:color="auto"/>
        <w:bottom w:val="none" w:sz="0" w:space="0" w:color="auto"/>
        <w:right w:val="none" w:sz="0" w:space="0" w:color="auto"/>
      </w:divBdr>
    </w:div>
    <w:div w:id="1114444952">
      <w:bodyDiv w:val="1"/>
      <w:marLeft w:val="0"/>
      <w:marRight w:val="0"/>
      <w:marTop w:val="0"/>
      <w:marBottom w:val="0"/>
      <w:divBdr>
        <w:top w:val="none" w:sz="0" w:space="0" w:color="auto"/>
        <w:left w:val="none" w:sz="0" w:space="0" w:color="auto"/>
        <w:bottom w:val="none" w:sz="0" w:space="0" w:color="auto"/>
        <w:right w:val="none" w:sz="0" w:space="0" w:color="auto"/>
      </w:divBdr>
    </w:div>
    <w:div w:id="1149324513">
      <w:bodyDiv w:val="1"/>
      <w:marLeft w:val="0"/>
      <w:marRight w:val="0"/>
      <w:marTop w:val="0"/>
      <w:marBottom w:val="0"/>
      <w:divBdr>
        <w:top w:val="none" w:sz="0" w:space="0" w:color="auto"/>
        <w:left w:val="none" w:sz="0" w:space="0" w:color="auto"/>
        <w:bottom w:val="none" w:sz="0" w:space="0" w:color="auto"/>
        <w:right w:val="none" w:sz="0" w:space="0" w:color="auto"/>
      </w:divBdr>
    </w:div>
    <w:div w:id="1265068027">
      <w:bodyDiv w:val="1"/>
      <w:marLeft w:val="0"/>
      <w:marRight w:val="0"/>
      <w:marTop w:val="0"/>
      <w:marBottom w:val="0"/>
      <w:divBdr>
        <w:top w:val="none" w:sz="0" w:space="0" w:color="auto"/>
        <w:left w:val="none" w:sz="0" w:space="0" w:color="auto"/>
        <w:bottom w:val="none" w:sz="0" w:space="0" w:color="auto"/>
        <w:right w:val="none" w:sz="0" w:space="0" w:color="auto"/>
      </w:divBdr>
    </w:div>
    <w:div w:id="1290895167">
      <w:bodyDiv w:val="1"/>
      <w:marLeft w:val="0"/>
      <w:marRight w:val="0"/>
      <w:marTop w:val="0"/>
      <w:marBottom w:val="0"/>
      <w:divBdr>
        <w:top w:val="none" w:sz="0" w:space="0" w:color="auto"/>
        <w:left w:val="none" w:sz="0" w:space="0" w:color="auto"/>
        <w:bottom w:val="none" w:sz="0" w:space="0" w:color="auto"/>
        <w:right w:val="none" w:sz="0" w:space="0" w:color="auto"/>
      </w:divBdr>
    </w:div>
    <w:div w:id="19849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2019-06-17T09:58:00Z</dcterms:created>
  <dcterms:modified xsi:type="dcterms:W3CDTF">2019-06-17T11:38:00Z</dcterms:modified>
</cp:coreProperties>
</file>